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6515">
      <w:pPr>
        <w:pStyle w:val="printredaction-line"/>
        <w:divId w:val="1164125648"/>
      </w:pPr>
      <w:bookmarkStart w:id="0" w:name="_GoBack"/>
      <w:bookmarkEnd w:id="0"/>
      <w:r>
        <w:t>Редакция от 1 июля 2019</w:t>
      </w:r>
    </w:p>
    <w:p w:rsidR="00000000" w:rsidRDefault="00296515">
      <w:pPr>
        <w:pStyle w:val="2"/>
        <w:divId w:val="1164125648"/>
        <w:rPr>
          <w:rFonts w:eastAsia="Times New Roman"/>
        </w:rPr>
      </w:pPr>
      <w:r>
        <w:rPr>
          <w:rFonts w:eastAsia="Times New Roman"/>
        </w:rPr>
        <w:t>Типовые проводки для бюджетных учреждений. Расчеты по платежам в бюджеты</w:t>
      </w:r>
    </w:p>
    <w:p w:rsidR="00000000" w:rsidRDefault="00296515">
      <w:pPr>
        <w:divId w:val="657154566"/>
        <w:rPr>
          <w:rFonts w:eastAsia="Times New Roman"/>
        </w:rPr>
      </w:pPr>
      <w:r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таблице найдете готовые решения для расчетов по платежам в бюджеты. Расскажем, какими проводками удержать НДФЛ, начислить НДС, налог на прибыль и другие налоги. Также узнаете, как отразить перечисление налогов и возврат на лицевой счет переплаты из ФСС.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75"/>
        <w:gridCol w:w="2617"/>
        <w:gridCol w:w="2316"/>
        <w:gridCol w:w="3537"/>
        <w:gridCol w:w="2225"/>
      </w:tblGrid>
      <w:tr w:rsidR="00000000">
        <w:trPr>
          <w:divId w:val="2142073373"/>
          <w:tblHeader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Содержание операци</w:t>
            </w:r>
            <w:r>
              <w:rPr>
                <w:rStyle w:val="a4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Бухгалтерская запис</w:t>
            </w:r>
            <w:r>
              <w:rPr>
                <w:rStyle w:val="a4"/>
              </w:rPr>
              <w:t>ь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Документальное оформлени</w:t>
            </w:r>
            <w:r>
              <w:rPr>
                <w:rStyle w:val="a4"/>
              </w:rPr>
              <w:t>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Основани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2142073373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дебе</w:t>
            </w:r>
            <w:r>
              <w:rPr>
                <w:rStyle w:val="a4"/>
              </w:rPr>
              <w:t>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креди</w:t>
            </w:r>
            <w:r>
              <w:rPr>
                <w:rStyle w:val="a4"/>
              </w:rPr>
              <w:t>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>
            <w:pPr>
              <w:rPr>
                <w:b/>
                <w:bCs/>
              </w:rPr>
            </w:pPr>
          </w:p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2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Расчеты по НДФ</w:t>
            </w:r>
            <w:r>
              <w:rPr>
                <w:rStyle w:val="a4"/>
                <w:rFonts w:eastAsia="Times New Roman"/>
                <w:b/>
                <w:bCs/>
              </w:rPr>
              <w:t>Л</w:t>
            </w:r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proofErr w:type="gramStart"/>
            <w:r>
              <w:t>Удержан</w:t>
            </w:r>
            <w:proofErr w:type="gramEnd"/>
            <w:r>
              <w:t xml:space="preserve"> НДФЛ с зарплаты, прочих выплат и вознаграждени</w:t>
            </w:r>
            <w:r>
              <w:t>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0.302.ХХ.83</w:t>
            </w:r>
            <w: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0.303.01.73</w:t>
            </w:r>
            <w: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 xml:space="preserve">Расчетно-платежная ведомость </w:t>
            </w:r>
            <w:r>
              <w:t>(</w:t>
            </w:r>
            <w:hyperlink r:id="rId5" w:anchor="/document/140/41215/" w:tooltip="ОКУД 0504401. Расчетно-платежная ведомость" w:history="1">
              <w:r>
                <w:rPr>
                  <w:rStyle w:val="a5"/>
                </w:rPr>
                <w:t>ф. 0504401</w:t>
              </w:r>
            </w:hyperlink>
            <w:r>
              <w:t>),</w:t>
            </w:r>
            <w:r>
              <w:br/>
              <w:t xml:space="preserve">расчетная ведомость </w:t>
            </w:r>
            <w:r>
              <w:t>(</w:t>
            </w:r>
            <w:hyperlink r:id="rId6" w:anchor="/document/140/41204/" w:tooltip="ОКУД 0504402. Расчетная ведомость" w:history="1">
              <w:r>
                <w:rPr>
                  <w:rStyle w:val="a5"/>
                </w:rPr>
                <w:t>ф. 0504402</w:t>
              </w:r>
            </w:hyperlink>
            <w:r>
              <w:t xml:space="preserve">), Бухгалтерская справка </w:t>
            </w:r>
            <w:r>
              <w:t>(</w:t>
            </w:r>
            <w:hyperlink r:id="rId7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hyperlink r:id="rId8" w:anchor="/document/99/902254660/XA00MCS2N3/" w:tooltip="131. Операции по начислению сумм налогов, сборов, страховых взносов и иных обязательных платежей в бюджеты бюджетной системы Российской Федерации отражаются на основании Справок (ф.0504833),.." w:history="1">
              <w:r>
                <w:rPr>
                  <w:rStyle w:val="a5"/>
                </w:rPr>
                <w:t>п. 131 Инструкции № 174н</w:t>
              </w:r>
            </w:hyperlink>
          </w:p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2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Расчеты по страховым взноса</w:t>
            </w:r>
            <w:r>
              <w:rPr>
                <w:rStyle w:val="a4"/>
                <w:rFonts w:eastAsia="Times New Roman"/>
                <w:b/>
                <w:bCs/>
              </w:rPr>
              <w:t>м</w:t>
            </w:r>
          </w:p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Начислены обязательные страховые взносы с</w:t>
            </w:r>
            <w:r>
              <w:t xml:space="preserve"> </w:t>
            </w:r>
            <w:hyperlink r:id="rId9" w:anchor="/document/16/71813/dfasyh83en/" w:tooltip="" w:history="1">
              <w:r>
                <w:rPr>
                  <w:rStyle w:val="a5"/>
                </w:rPr>
                <w:t>выплат персоналу по кодам КОСГУ 211, 212 и 214</w:t>
              </w:r>
            </w:hyperlink>
            <w:r>
              <w:t>:</w:t>
            </w:r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 xml:space="preserve">– в ФСС в части соцстрахования на случай временной нетрудоспособности и в </w:t>
            </w:r>
            <w:r>
              <w:t>связи с материнство</w:t>
            </w:r>
            <w:r>
              <w:t>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0.401.20.213,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.213,</w:t>
            </w:r>
            <w:r>
              <w:br/>
              <w:t>0.106.ХХ.30</w:t>
            </w:r>
            <w:r>
              <w:t>0</w:t>
            </w:r>
            <w:hyperlink r:id="rId10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0.303.02.73</w:t>
            </w:r>
            <w:r>
              <w:t>1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11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hyperlink r:id="rId12" w:anchor="/document/99/902254660/XA00MCS2N3/" w:tooltip="131. Операции по начислению сумм налогов, сборов, страховых взносов и иных обязательных платежей в бюджеты бюджетной системы Российской Федерации отражаются на основании Справок (ф.0504833),.." w:history="1">
              <w:r>
                <w:rPr>
                  <w:rStyle w:val="a5"/>
                </w:rPr>
                <w:t>п. 131 Инструкции № 174н</w:t>
              </w:r>
            </w:hyperlink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в ФСС в части соцстрахования от несчастных случаев на производстве и профзаболевани</w:t>
            </w:r>
            <w:r>
              <w:t>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0.401.20.213,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.213,</w:t>
            </w:r>
            <w:r>
              <w:br/>
              <w:t>0.106.ХХ.30</w:t>
            </w:r>
            <w:r>
              <w:t>0</w:t>
            </w:r>
            <w:hyperlink r:id="rId13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0.303.06.73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в ФФОМС на медицинское страхов</w:t>
            </w:r>
            <w:r>
              <w:t>ани</w:t>
            </w:r>
            <w:r>
              <w:t>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0.401.20.213,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.213,</w:t>
            </w:r>
            <w:r>
              <w:br/>
            </w:r>
            <w:r>
              <w:lastRenderedPageBreak/>
              <w:t>0.106.ХХ.30</w:t>
            </w:r>
            <w:r>
              <w:t>0</w:t>
            </w:r>
            <w:hyperlink r:id="rId14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lastRenderedPageBreak/>
              <w:t>0.303.07.73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lastRenderedPageBreak/>
              <w:t>– в ПФ</w:t>
            </w:r>
            <w:r>
              <w:t>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0.401.20.213,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.213,</w:t>
            </w:r>
            <w:r>
              <w:br/>
              <w:t>0.106.ХХ.30</w:t>
            </w:r>
            <w:r>
              <w:t>0</w:t>
            </w:r>
            <w:hyperlink r:id="rId15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0.303.10.73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Начислены пособия и другие выплаты за счет обязательных страховых взносов в ФС</w:t>
            </w:r>
            <w:r>
              <w:t>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0.303.02.83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0.302.13.73</w:t>
            </w:r>
            <w:r>
              <w:t>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Листок временной нетрудоспособности,</w:t>
            </w:r>
            <w:r>
              <w:br/>
              <w:t>расчетно-плате</w:t>
            </w:r>
            <w:r>
              <w:t xml:space="preserve">жная ведомость </w:t>
            </w:r>
            <w:r>
              <w:t>(</w:t>
            </w:r>
            <w:hyperlink r:id="rId16" w:anchor="/document/140/41215/" w:tooltip="ОКУД 0504401. Расчетно-платежная ведомость" w:history="1">
              <w:r>
                <w:rPr>
                  <w:rStyle w:val="a5"/>
                </w:rPr>
                <w:t>ф. 0504401</w:t>
              </w:r>
            </w:hyperlink>
            <w:r>
              <w:t>),</w:t>
            </w:r>
            <w:r>
              <w:br/>
              <w:t xml:space="preserve">расчетная ведомость </w:t>
            </w:r>
            <w:r>
              <w:t>(</w:t>
            </w:r>
            <w:hyperlink r:id="rId17" w:anchor="/document/140/41204/" w:tooltip="ОКУД 0504402. Расчетная ведомость" w:history="1">
              <w:r>
                <w:rPr>
                  <w:rStyle w:val="a5"/>
                </w:rPr>
                <w:t>ф. 0504402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Начислены пособия и другие выплаты за счет взносов на травматиз</w:t>
            </w:r>
            <w:r>
              <w:t>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0.303.06.83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0.302.13.73</w:t>
            </w:r>
            <w:r>
              <w:t>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Листок временной нетрудоспособности,</w:t>
            </w:r>
            <w:r>
              <w:br/>
              <w:t>документ, подтверждающий факт несчастного случая,</w:t>
            </w:r>
            <w:r>
              <w:br/>
              <w:t xml:space="preserve">расчетно-платежная ведомость </w:t>
            </w:r>
            <w:r>
              <w:t>(</w:t>
            </w:r>
            <w:hyperlink r:id="rId18" w:anchor="/document/140/41215/" w:tooltip="ОКУД 0504401. Расчетно-платежная ведомость" w:history="1">
              <w:r>
                <w:rPr>
                  <w:rStyle w:val="a5"/>
                </w:rPr>
                <w:t>ф. 0504401</w:t>
              </w:r>
            </w:hyperlink>
            <w:r>
              <w:t>),</w:t>
            </w:r>
            <w:r>
              <w:br/>
              <w:t xml:space="preserve">расчетная ведомость </w:t>
            </w:r>
            <w:r>
              <w:t>(</w:t>
            </w:r>
            <w:hyperlink r:id="rId19" w:anchor="/document/140/41204/" w:tooltip="ОКУД 0504402. Расчетная ведомость" w:history="1">
              <w:r>
                <w:rPr>
                  <w:rStyle w:val="a5"/>
                </w:rPr>
                <w:t>ф. 0504402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Начислены обязательные страховые взносы</w:t>
            </w:r>
            <w:r>
              <w:t xml:space="preserve"> </w:t>
            </w:r>
            <w:hyperlink r:id="rId20" w:anchor="/document/16/71813/dfasfcllcn/" w:tooltip="" w:history="1">
              <w:r>
                <w:rPr>
                  <w:rStyle w:val="a5"/>
                </w:rPr>
                <w:t>с других выплат персоналу и по ГПД</w:t>
              </w:r>
            </w:hyperlink>
            <w:r>
              <w:t>:</w:t>
            </w:r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в ФСС на обязательное социальное страховани</w:t>
            </w:r>
            <w:r>
              <w:t>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0.401.20.20</w:t>
            </w:r>
            <w:r>
              <w:t>0</w:t>
            </w:r>
            <w:hyperlink r:id="rId21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.20</w:t>
            </w:r>
            <w:r>
              <w:t>0</w:t>
            </w:r>
            <w:hyperlink r:id="rId22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</w:t>
            </w:r>
            <w:r>
              <w:br/>
              <w:t>0.106.ХХ.30</w:t>
            </w:r>
            <w:r>
              <w:t>0</w:t>
            </w:r>
            <w:hyperlink r:id="rId23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</w:t>
            </w:r>
            <w:r>
              <w:t>3.02.73</w:t>
            </w:r>
            <w:r>
              <w:t>1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24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hyperlink r:id="rId25" w:anchor="/document/99/902254660/XA00MCS2N3/" w:tooltip="131. Операции по начислению сумм налогов, сборов, страховых взносов и иных обязательных платежей в бюджеты бюджетной системы Российской Федерации отражаются на основании Справок (ф.0504833),.." w:history="1">
              <w:r>
                <w:rPr>
                  <w:rStyle w:val="a5"/>
                </w:rPr>
                <w:t>п. 131 Инструкции № 174н</w:t>
              </w:r>
            </w:hyperlink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в ФСС на обязательное социальное страхова</w:t>
            </w:r>
            <w:r>
              <w:t>ние по травматизм</w:t>
            </w:r>
            <w:r>
              <w:t>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0.401.20.20</w:t>
            </w:r>
            <w:r>
              <w:t>0</w:t>
            </w:r>
            <w:hyperlink r:id="rId26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.20</w:t>
            </w:r>
            <w:r>
              <w:t>0</w:t>
            </w:r>
            <w:hyperlink r:id="rId27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</w:t>
            </w:r>
            <w:r>
              <w:br/>
            </w:r>
            <w:r>
              <w:lastRenderedPageBreak/>
              <w:t>0.106.ХХ.30</w:t>
            </w:r>
            <w:r>
              <w:t>0</w:t>
            </w:r>
            <w:hyperlink r:id="rId28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lastRenderedPageBreak/>
              <w:t>0.303.06.73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lastRenderedPageBreak/>
              <w:t>– в ФФОМС на обязательное медицинское страховани</w:t>
            </w:r>
            <w:r>
              <w:t>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0.401.20.20</w:t>
            </w:r>
            <w:r>
              <w:t>0</w:t>
            </w:r>
            <w:hyperlink r:id="rId29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.20</w:t>
            </w:r>
            <w:r>
              <w:t>0</w:t>
            </w:r>
            <w:hyperlink r:id="rId30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</w:t>
            </w:r>
            <w:r>
              <w:br/>
              <w:t>0.106.ХХ.30</w:t>
            </w:r>
            <w:r>
              <w:t>0</w:t>
            </w:r>
            <w:hyperlink r:id="rId31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0.303.07.73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в ПФ</w:t>
            </w:r>
            <w:r>
              <w:t>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0.401.20.20</w:t>
            </w:r>
            <w:r>
              <w:t>0</w:t>
            </w:r>
            <w:hyperlink r:id="rId32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.20</w:t>
            </w:r>
            <w:r>
              <w:t>0</w:t>
            </w:r>
            <w:hyperlink r:id="rId33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  <w:r>
              <w:t>,</w:t>
            </w:r>
            <w:r>
              <w:br/>
              <w:t>0.106.ХХ.30</w:t>
            </w:r>
            <w:r>
              <w:t>0</w:t>
            </w:r>
            <w:hyperlink r:id="rId34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</w:t>
            </w:r>
            <w:r>
              <w:t>3.10.73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2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Расчеты по НДС и налогу на прибыл</w:t>
            </w:r>
            <w:r>
              <w:rPr>
                <w:rStyle w:val="a4"/>
                <w:rFonts w:eastAsia="Times New Roman"/>
                <w:b/>
                <w:bCs/>
              </w:rPr>
              <w:t>ь</w:t>
            </w:r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Начисление налога на прибыль организаци</w:t>
            </w:r>
            <w:r>
              <w:t>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2.401.10.18</w:t>
            </w:r>
            <w:r>
              <w:t>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2.303.03.73</w:t>
            </w:r>
            <w: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35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hyperlink r:id="rId36" w:anchor="/document/99/902254660/XA00MCS2N3/" w:tooltip="131. Операции по начислению сумм налогов, сборов, страховых взносов и иных обязательных платежей в бюджеты бюджетной системы Российской Федерации отражаются на основании Справок (ф.0504833),.." w:history="1">
              <w:r>
                <w:rPr>
                  <w:rStyle w:val="a5"/>
                </w:rPr>
                <w:t>п. 131 Инструкции № 174н</w:t>
              </w:r>
            </w:hyperlink>
            <w:r>
              <w:t>,</w:t>
            </w:r>
            <w:r>
              <w:t xml:space="preserve"> </w:t>
            </w:r>
            <w:hyperlink r:id="rId37" w:anchor="/document/99/555944502/XA00M4S2ML/" w:tooltip="Операции налогоплательщиков - государственных (муниципальных) автономных и бюджетных учреждений по начислению налогов, объектом налогообложения для которых являются доходы (прибыль).." w:history="1">
              <w:r>
                <w:rPr>
                  <w:rStyle w:val="a5"/>
                </w:rPr>
                <w:t>п. 9 Порядка применения КОСГУ № 209н</w:t>
              </w:r>
            </w:hyperlink>
          </w:p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Начислен НДС</w:t>
            </w:r>
            <w:r>
              <w:t>:</w:t>
            </w:r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с выручки от продажи товаров, работ, услу</w:t>
            </w:r>
            <w:r>
              <w:t>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</w:t>
            </w:r>
            <w:r>
              <w:t>.</w:t>
            </w:r>
            <w:r>
              <w:t>401.10.1Х</w:t>
            </w:r>
            <w:r>
              <w:t>Х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2.303.04.73</w:t>
            </w:r>
            <w:r>
              <w:t>1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38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), счет-фактур</w:t>
            </w:r>
            <w:r>
              <w:t>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п.</w:t>
            </w:r>
            <w:r>
              <w:t> </w:t>
            </w:r>
            <w:hyperlink r:id="rId39" w:anchor="/document/99/902254660/XA00M8G2N9/" w:tooltip="113. Операции по уменьшению расчетов по НДС по оформляются следующими бухгалтерскими записями:" w:history="1">
              <w:r>
                <w:rPr>
                  <w:rStyle w:val="a5"/>
                </w:rPr>
                <w:t>113</w:t>
              </w:r>
            </w:hyperlink>
            <w:r>
              <w:t>,</w:t>
            </w:r>
            <w:r>
              <w:t xml:space="preserve"> </w:t>
            </w:r>
            <w:hyperlink r:id="rId40" w:anchor="/document/99/902254660/XA00MCS2N3/" w:tooltip="131. Операции по начислению сумм налогов, сборов, страховых взносов и иных обязательных платежей в бюджеты бюджетной системы Российской Федерации отражаются на основании Справок (ф.0504833),.." w:history="1">
              <w:r>
                <w:rPr>
                  <w:rStyle w:val="a5"/>
                </w:rPr>
                <w:t>131</w:t>
              </w:r>
            </w:hyperlink>
            <w:r>
              <w:t xml:space="preserve"> Инструкции № 174н,</w:t>
            </w:r>
            <w:r>
              <w:t xml:space="preserve"> </w:t>
            </w:r>
            <w:hyperlink r:id="rId41" w:anchor="/document/99/555944502/XA00M4S2ML/" w:tooltip="Операции налогоплательщиков - государственных (муниципальных) автономных и бюджетных учреждений по начислению налогов, объектом налогообложения для которых являются доходы (прибыль).." w:history="1">
              <w:r>
                <w:rPr>
                  <w:rStyle w:val="a5"/>
                </w:rPr>
                <w:t>п. 9 Порядка применения КОСГУ № 209н</w:t>
              </w:r>
            </w:hyperlink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при 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езвозм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здной передаче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2.401.20.291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2.303.04.731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при получении аванса (предоплаты) на поставку товаров, выполнение работ, оказание услу</w:t>
            </w:r>
            <w:r>
              <w:t>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2.210.11.56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2.303.04.73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учреждением как налоговым агенто</w:t>
            </w:r>
            <w:r>
              <w:t>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2.302.ХХ.83</w:t>
            </w:r>
            <w:r>
              <w:t>Х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2.303.04.73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lastRenderedPageBreak/>
              <w:t>Восстановлен НДС, ранее принятый к вычет</w:t>
            </w:r>
            <w:r>
              <w:t>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2.210.12.56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2.303.04.73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Принятие к вычету входного НД</w:t>
            </w:r>
            <w:r>
              <w:t>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2.303.04.83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2.210.12.66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Уменьшение НДС к уплате на сумму налога, начисленного с аванса, полученного в счет предстоящих поставо</w:t>
            </w:r>
            <w:r>
              <w:t>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2.303.04.83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2.210.11.66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2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Расчеты по другим налогам и платежа</w:t>
            </w:r>
            <w:r>
              <w:rPr>
                <w:rStyle w:val="a4"/>
                <w:rFonts w:eastAsia="Times New Roman"/>
                <w:b/>
                <w:bCs/>
              </w:rPr>
              <w:t>м</w:t>
            </w:r>
          </w:p>
        </w:tc>
      </w:tr>
      <w:tr w:rsidR="00000000">
        <w:trPr>
          <w:divId w:val="21420733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Начислены налоги</w:t>
            </w:r>
            <w:r>
              <w:t>: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42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), расче</w:t>
            </w:r>
            <w:r>
              <w:t>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hyperlink r:id="rId43" w:anchor="/document/99/902254660/XA00MCS2N3/" w:tooltip="131. Операции по начислению сумм налогов, сборов, страховых взносов и иных обязательных платежей в бюджеты бюджетной системы Российской Федерации отражаются на основании Справок (ф.0504833),.." w:history="1">
              <w:r>
                <w:rPr>
                  <w:rStyle w:val="a5"/>
                </w:rPr>
                <w:t>п. 131 Инструк</w:t>
              </w:r>
              <w:r>
                <w:rPr>
                  <w:rStyle w:val="a5"/>
                </w:rPr>
                <w:t>ции № 174н</w:t>
              </w:r>
            </w:hyperlink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налог на имущество организаци</w:t>
            </w:r>
            <w:r>
              <w:t>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0.401.20.29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0.303.12.73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земельный нало</w:t>
            </w:r>
            <w:r>
              <w:t>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0.401.20.29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0.303.13.73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транспортный налог, госпошлина, экологические платежи, ЕНВД и другие платежи в бюдже</w:t>
            </w:r>
            <w:r>
              <w:t>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0.401.20.291,</w:t>
            </w:r>
            <w:r>
              <w:br/>
              <w:t>0.109.Х</w:t>
            </w:r>
            <w:proofErr w:type="gramStart"/>
            <w:r>
              <w:t>0</w:t>
            </w:r>
            <w:proofErr w:type="gramEnd"/>
            <w:r>
              <w:t>.291,</w:t>
            </w:r>
            <w:r>
              <w:br/>
            </w:r>
            <w:r>
              <w:t>0.106.ХХ.30</w:t>
            </w:r>
            <w:r>
              <w:t>0</w:t>
            </w:r>
            <w:hyperlink r:id="rId44" w:anchor="/document/117/52543/r61/" w:history="1">
              <w:r>
                <w:rPr>
                  <w:rStyle w:val="a5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Начислены штрафы, пени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за несвоевременное перечисление налогов, сборов и страховых взносо</w:t>
            </w:r>
            <w:r>
              <w:t>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0.401.20.29</w:t>
            </w:r>
            <w: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– за нарушение законодательства о закупка</w:t>
            </w:r>
            <w:r>
              <w:t>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0.401.20.29</w:t>
            </w:r>
            <w: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Другие административные штрафы.</w:t>
            </w:r>
            <w:r>
              <w:t> </w:t>
            </w:r>
            <w:hyperlink r:id="rId45" w:anchor="/document/12/315009/" w:tooltip="" w:history="1">
              <w:r>
                <w:rPr>
                  <w:rStyle w:val="a5"/>
                </w:rPr>
                <w:t>Подробнее</w:t>
              </w:r>
            </w:hyperlink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0.401.20.29</w:t>
            </w:r>
            <w: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96515"/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2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lastRenderedPageBreak/>
              <w:t>Уплата налогов и других платежей в бюдже</w:t>
            </w:r>
            <w:r>
              <w:rPr>
                <w:rStyle w:val="a4"/>
                <w:rFonts w:eastAsia="Times New Roman"/>
                <w:b/>
                <w:bCs/>
              </w:rPr>
              <w:t>т</w:t>
            </w:r>
          </w:p>
        </w:tc>
      </w:tr>
      <w:tr w:rsidR="00000000">
        <w:trPr>
          <w:divId w:val="2142073373"/>
        </w:trPr>
        <w:tc>
          <w:tcPr>
            <w:tcW w:w="3510" w:type="dxa"/>
            <w:hideMark/>
          </w:tcPr>
          <w:p w:rsidR="00000000" w:rsidRDefault="00296515">
            <w:pPr>
              <w:pStyle w:val="a3"/>
            </w:pPr>
            <w:hyperlink r:id="rId46" w:anchor="/document/16/71813/dfast9wp96/" w:tooltip="" w:history="1">
              <w:r>
                <w:rPr>
                  <w:rStyle w:val="a5"/>
                </w:rPr>
                <w:t>Перечислены налоги, взносы и другие платежи в доход бюджета</w:t>
              </w:r>
            </w:hyperlink>
            <w:hyperlink r:id="rId47" w:anchor="/document/117/52543/r62/" w:history="1">
              <w:r>
                <w:rPr>
                  <w:rStyle w:val="a5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</w:p>
        </w:tc>
        <w:tc>
          <w:tcPr>
            <w:tcW w:w="1920" w:type="dxa"/>
            <w:hideMark/>
          </w:tcPr>
          <w:p w:rsidR="00000000" w:rsidRDefault="00296515">
            <w:pPr>
              <w:pStyle w:val="a3"/>
            </w:pPr>
            <w:r>
              <w:t>0.303.ХХ.83</w:t>
            </w:r>
            <w:r>
              <w:t>1</w:t>
            </w:r>
          </w:p>
        </w:tc>
        <w:tc>
          <w:tcPr>
            <w:tcW w:w="1455" w:type="dxa"/>
            <w:hideMark/>
          </w:tcPr>
          <w:p w:rsidR="00000000" w:rsidRDefault="00296515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hyperlink r:id="rId48" w:anchor="/document/99/902254660/XA00ME02N9/" w:tooltip="133. Операции по уменьшению расчетов (исполнению, погашению) по суммам налогов, сборов, страховых взносов и иных обязательных платежей в бюджеты бюджетной системы Российской Федерации..." w:history="1">
              <w:r>
                <w:rPr>
                  <w:rStyle w:val="a5"/>
                </w:rPr>
                <w:t>п. 133 Инструкции № 174н</w:t>
              </w:r>
            </w:hyperlink>
          </w:p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2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Другие расчеты</w:t>
            </w:r>
            <w:r>
              <w:rPr>
                <w:rStyle w:val="a4"/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divId w:val="214207337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 xml:space="preserve">Поступили на лицевой счет средства в погашение </w:t>
            </w:r>
            <w:proofErr w:type="gramStart"/>
            <w:r>
              <w:t>текущей</w:t>
            </w:r>
            <w:proofErr w:type="gramEnd"/>
            <w:r>
              <w:t xml:space="preserve"> дебиторки внебюджетных фондо</w:t>
            </w:r>
            <w:r>
              <w:t>в</w:t>
            </w:r>
            <w:hyperlink r:id="rId49" w:anchor="/document/117/52543/r63/" w:history="1">
              <w:r>
                <w:rPr>
                  <w:rStyle w:val="a5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0.201.11.51</w:t>
            </w:r>
            <w: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0.303.02.731,</w:t>
            </w:r>
            <w:r>
              <w:br/>
              <w:t>0.303.06.731,</w:t>
            </w:r>
            <w:r>
              <w:br/>
              <w:t>0.303.07.731,</w:t>
            </w:r>
            <w:r>
              <w:br/>
              <w:t>0.303.10.73</w:t>
            </w:r>
            <w: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hyperlink r:id="rId50" w:anchor="/document/99/902254660/XA00MDE2N6/" w:tooltip="132. Операции по поступлению денежных средств на лицевой счет бюджетного учреждения, средств от государственных внебюджетных фондов в погашение их текущей задолженности по расчетам..." w:history="1">
              <w:r>
                <w:rPr>
                  <w:rStyle w:val="a5"/>
                </w:rPr>
                <w:t>п. 132 Инструкции № 174н</w:t>
              </w:r>
            </w:hyperlink>
          </w:p>
        </w:tc>
      </w:tr>
      <w:tr w:rsidR="00000000">
        <w:trPr>
          <w:divId w:val="21420733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96515">
            <w:pPr>
              <w:pStyle w:val="a3"/>
            </w:pPr>
            <w:r>
              <w:t>Х – с учетом того, где стоит обозначение: код группы синтетического счета или соответствующая подстатья КОСГУ</w:t>
            </w:r>
            <w:r>
              <w:t>.</w:t>
            </w:r>
          </w:p>
          <w:p w:rsidR="00000000" w:rsidRDefault="00296515">
            <w:pPr>
              <w:pStyle w:val="a3"/>
            </w:pPr>
            <w:r>
              <w:t>ХХ – с учетом того, где стоит обозначение: код группы и вида синтетического счета объекта учета и</w:t>
            </w:r>
            <w:r>
              <w:t>ли соответствующая подстатья КОСГУ</w:t>
            </w:r>
            <w:r>
              <w:t>.</w:t>
            </w:r>
          </w:p>
          <w:p w:rsidR="00000000" w:rsidRDefault="00296515">
            <w:pPr>
              <w:pStyle w:val="a3"/>
            </w:pPr>
            <w:hyperlink r:id="rId51" w:anchor="/document/117/52543/vr64/" w:history="1">
              <w:r>
                <w:rPr>
                  <w:rStyle w:val="a5"/>
                  <w:vertAlign w:val="superscript"/>
                </w:rPr>
                <w:t>1</w:t>
              </w:r>
              <w:proofErr w:type="gramStart"/>
            </w:hyperlink>
            <w:r>
              <w:rPr>
                <w:vertAlign w:val="superscript"/>
              </w:rPr>
              <w:t xml:space="preserve"> </w:t>
            </w:r>
            <w:r>
              <w:t>В</w:t>
            </w:r>
            <w:proofErr w:type="gramEnd"/>
            <w:r>
              <w:t xml:space="preserve"> разрезе</w:t>
            </w:r>
            <w:r>
              <w:t xml:space="preserve"> </w:t>
            </w:r>
            <w:hyperlink r:id="rId52" w:anchor="/document/99/555944502/ZAP29UU3GB/" w:tooltip="" w:history="1">
              <w:r>
                <w:rPr>
                  <w:rStyle w:val="a5"/>
                </w:rPr>
                <w:t>статей и подстатей КОСГУ</w:t>
              </w:r>
            </w:hyperlink>
            <w:r>
              <w:t>.</w:t>
            </w:r>
          </w:p>
          <w:p w:rsidR="00000000" w:rsidRDefault="00296515">
            <w:pPr>
              <w:pStyle w:val="a3"/>
            </w:pPr>
            <w:hyperlink r:id="rId53" w:anchor="/document/117/52543/dfaso273c4/" w:history="1">
              <w:r>
                <w:rPr>
                  <w:rStyle w:val="a5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Одновременно оформите запись по</w:t>
            </w:r>
            <w:r>
              <w:t xml:space="preserve"> </w:t>
            </w:r>
            <w:hyperlink r:id="rId54" w:anchor="/document/99/902249301/XA00M622MG/" w:tooltip="Счет 18 Выбытия денежных средств" w:history="1">
              <w:r>
                <w:rPr>
                  <w:rStyle w:val="a5"/>
                </w:rPr>
                <w:t>забалансовому счету 18</w:t>
              </w:r>
            </w:hyperlink>
            <w:r>
              <w:t>. Исключение – упл</w:t>
            </w:r>
            <w:r>
              <w:t>ата НДС с выручки и налога на прибыль. По ним сделайте запись по</w:t>
            </w:r>
            <w:r>
              <w:t xml:space="preserve"> </w:t>
            </w:r>
            <w:hyperlink r:id="rId55" w:anchor="/document/99/902249301/XA00M622MG/" w:tooltip="Счет 17 Поступления денежных средств" w:history="1">
              <w:r>
                <w:rPr>
                  <w:rStyle w:val="a5"/>
                </w:rPr>
                <w:t>забалансовому счету 17</w:t>
              </w:r>
            </w:hyperlink>
            <w:r>
              <w:t xml:space="preserve"> в уменьшение доходов – со знаком минус. Обр</w:t>
            </w:r>
            <w:r>
              <w:t>атите внимание: если перечисляете НДС, возникший при безвозмездной передаче,</w:t>
            </w:r>
            <w:r>
              <w:t xml:space="preserve"> </w:t>
            </w:r>
            <w:hyperlink r:id="rId56" w:anchor="/document/99/902249301/XA00M622MG/" w:tooltip="Счет 17 Поступления денежных средств" w:history="1">
              <w:r>
                <w:rPr>
                  <w:rStyle w:val="a5"/>
                </w:rPr>
                <w:t>забалансовый счет 17</w:t>
              </w:r>
            </w:hyperlink>
            <w:r>
              <w:t> не применяйте, так как НДС уже на</w:t>
            </w:r>
            <w:r>
              <w:t>числен в расход текущего года.</w:t>
            </w:r>
            <w:r>
              <w:t xml:space="preserve"> </w:t>
            </w:r>
            <w:hyperlink r:id="rId57" w:anchor="/document/16/70962/dfasn77zgi/" w:tooltip="" w:history="1">
              <w:r>
                <w:rPr>
                  <w:rStyle w:val="a5"/>
                </w:rPr>
                <w:t>Подробнее&gt;&gt;</w:t>
              </w:r>
            </w:hyperlink>
            <w:r>
              <w:t> </w:t>
            </w:r>
          </w:p>
          <w:p w:rsidR="00000000" w:rsidRDefault="00296515">
            <w:pPr>
              <w:pStyle w:val="a3"/>
            </w:pPr>
            <w:hyperlink r:id="rId58" w:anchor="/document/117/52543/vr82/" w:history="1">
              <w:r>
                <w:rPr>
                  <w:rStyle w:val="a5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 xml:space="preserve"> </w:t>
            </w:r>
            <w:r>
              <w:t>Одновременно сделайте запись по</w:t>
            </w:r>
            <w:r>
              <w:t xml:space="preserve"> </w:t>
            </w:r>
            <w:hyperlink r:id="rId59" w:anchor="/document/99/902249301/XA00M862N0/" w:tooltip="Счет 18 Выбытия денежных средств" w:history="1">
              <w:r>
                <w:rPr>
                  <w:rStyle w:val="a5"/>
                </w:rPr>
                <w:t>забалансовому счету 18</w:t>
              </w:r>
            </w:hyperlink>
            <w:r>
              <w:t xml:space="preserve"> – со знаком минус</w:t>
            </w:r>
            <w:r>
              <w:t>.</w:t>
            </w:r>
          </w:p>
        </w:tc>
      </w:tr>
    </w:tbl>
    <w:p w:rsidR="00000000" w:rsidRDefault="00296515">
      <w:pPr>
        <w:pStyle w:val="a3"/>
        <w:divId w:val="1970238390"/>
      </w:pPr>
      <w:r>
        <w:t> </w:t>
      </w:r>
    </w:p>
    <w:p w:rsidR="00000000" w:rsidRDefault="00296515">
      <w:pPr>
        <w:pStyle w:val="a3"/>
        <w:divId w:val="1970238390"/>
      </w:pPr>
      <w:r>
        <w:t> </w:t>
      </w:r>
    </w:p>
    <w:p w:rsidR="00000000" w:rsidRDefault="00296515">
      <w:pPr>
        <w:pStyle w:val="a3"/>
        <w:divId w:val="1970238390"/>
      </w:pPr>
      <w:r>
        <w:lastRenderedPageBreak/>
        <w:t> </w:t>
      </w:r>
    </w:p>
    <w:p w:rsidR="00000000" w:rsidRDefault="00296515">
      <w:pPr>
        <w:pStyle w:val="a3"/>
        <w:divId w:val="1970238390"/>
      </w:pPr>
      <w:r>
        <w:t> </w:t>
      </w:r>
    </w:p>
    <w:p w:rsidR="00296515" w:rsidRDefault="00296515">
      <w:pPr>
        <w:divId w:val="97012981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25.01.2021</w:t>
      </w:r>
    </w:p>
    <w:sectPr w:rsidR="00296515" w:rsidSect="00746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46CB0"/>
    <w:rsid w:val="00296515"/>
    <w:rsid w:val="007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2981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3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2021-01-25T07:26:00Z</dcterms:created>
  <dcterms:modified xsi:type="dcterms:W3CDTF">2021-01-25T07:26:00Z</dcterms:modified>
</cp:coreProperties>
</file>